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AB" w:rsidRDefault="00EE45AB" w:rsidP="007A3FD5">
      <w:pPr>
        <w:jc w:val="center"/>
      </w:pPr>
      <w:r>
        <w:rPr>
          <w:noProof/>
        </w:rPr>
        <w:drawing>
          <wp:inline distT="0" distB="0" distL="0" distR="0">
            <wp:extent cx="5207508" cy="914400"/>
            <wp:effectExtent l="19050" t="0" r="0" b="0"/>
            <wp:docPr id="1" name="Picture 0" descr="MemoLet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LetHeadtop.jpg"/>
                    <pic:cNvPicPr/>
                  </pic:nvPicPr>
                  <pic:blipFill>
                    <a:blip r:embed="rId5" cstate="print"/>
                    <a:stretch>
                      <a:fillRect/>
                    </a:stretch>
                  </pic:blipFill>
                  <pic:spPr>
                    <a:xfrm>
                      <a:off x="0" y="0"/>
                      <a:ext cx="5207508" cy="914400"/>
                    </a:xfrm>
                    <a:prstGeom prst="rect">
                      <a:avLst/>
                    </a:prstGeom>
                  </pic:spPr>
                </pic:pic>
              </a:graphicData>
            </a:graphic>
          </wp:inline>
        </w:drawing>
      </w:r>
    </w:p>
    <w:p w:rsidR="00EE45AB" w:rsidRDefault="00EE45AB" w:rsidP="007A3FD5">
      <w:pPr>
        <w:jc w:val="center"/>
      </w:pPr>
    </w:p>
    <w:p w:rsidR="007A3FD5" w:rsidRPr="00EE45AB" w:rsidRDefault="007A3FD5" w:rsidP="007A3FD5">
      <w:pPr>
        <w:jc w:val="center"/>
        <w:rPr>
          <w:b/>
        </w:rPr>
      </w:pPr>
      <w:r w:rsidRPr="00EE45AB">
        <w:rPr>
          <w:b/>
        </w:rPr>
        <w:t>Call for Papers</w:t>
      </w:r>
    </w:p>
    <w:p w:rsidR="007A3FD5" w:rsidRDefault="007A3FD5" w:rsidP="007A3FD5">
      <w:pPr>
        <w:jc w:val="center"/>
      </w:pPr>
    </w:p>
    <w:p w:rsidR="007A3FD5" w:rsidRPr="008A35A8" w:rsidRDefault="007A3FD5" w:rsidP="007A3FD5">
      <w:pPr>
        <w:jc w:val="center"/>
      </w:pPr>
      <w:r w:rsidRPr="008A35A8">
        <w:t>Canadian Institute for the Administration of Justice</w:t>
      </w:r>
    </w:p>
    <w:p w:rsidR="007A3FD5" w:rsidRPr="008A35A8" w:rsidRDefault="007A3FD5" w:rsidP="007A3FD5">
      <w:pPr>
        <w:jc w:val="center"/>
      </w:pPr>
      <w:r w:rsidRPr="008A35A8">
        <w:t>2011 Annual Conference</w:t>
      </w:r>
    </w:p>
    <w:p w:rsidR="007A3FD5" w:rsidRPr="008A35A8" w:rsidRDefault="007A3FD5" w:rsidP="007A3FD5">
      <w:pPr>
        <w:widowControl w:val="0"/>
        <w:autoSpaceDE w:val="0"/>
        <w:autoSpaceDN w:val="0"/>
        <w:adjustRightInd w:val="0"/>
        <w:jc w:val="center"/>
        <w:rPr>
          <w:rFonts w:ascii="AkzidenzGroteskBE-Bold" w:hAnsi="AkzidenzGroteskBE-Bold" w:cs="AkzidenzGroteskBE-Bold"/>
          <w:bCs/>
        </w:rPr>
      </w:pPr>
      <w:r w:rsidRPr="008A35A8">
        <w:rPr>
          <w:rFonts w:ascii="AkzidenzGroteskBE-Bold" w:hAnsi="AkzidenzGroteskBE-Bold" w:cs="AkzidenzGroteskBE-Bold"/>
          <w:bCs/>
        </w:rPr>
        <w:t>October 13 &amp; 14, 2011</w:t>
      </w:r>
    </w:p>
    <w:p w:rsidR="007A3FD5" w:rsidRPr="007A3FD5" w:rsidRDefault="007A3FD5" w:rsidP="007A3FD5">
      <w:pPr>
        <w:jc w:val="center"/>
      </w:pPr>
      <w:r w:rsidRPr="008A35A8">
        <w:rPr>
          <w:rFonts w:ascii="AkzidenzGroteskBE-Bold" w:hAnsi="AkzidenzGroteskBE-Bold" w:cs="AkzidenzGroteskBE-Bold"/>
          <w:bCs/>
        </w:rPr>
        <w:t>Montreal, Quebec</w:t>
      </w:r>
    </w:p>
    <w:p w:rsidR="007A3FD5" w:rsidRDefault="007A3FD5" w:rsidP="007A3FD5"/>
    <w:p w:rsidR="007A3FD5" w:rsidRPr="007A3FD5" w:rsidRDefault="007A3FD5" w:rsidP="007A3FD5">
      <w:pPr>
        <w:jc w:val="center"/>
      </w:pPr>
      <w:r w:rsidRPr="007A3FD5">
        <w:t>Terrorism, Law and Democracy:</w:t>
      </w:r>
      <w:r>
        <w:t xml:space="preserve"> </w:t>
      </w:r>
      <w:r w:rsidRPr="007A3FD5">
        <w:t>10 years after 9/11</w:t>
      </w:r>
    </w:p>
    <w:p w:rsidR="007A3FD5" w:rsidRPr="007A3FD5" w:rsidRDefault="007A3FD5" w:rsidP="007A3FD5"/>
    <w:p w:rsidR="007A3FD5" w:rsidRDefault="007A3FD5" w:rsidP="007A3FD5"/>
    <w:p w:rsidR="007A3FD5" w:rsidRPr="007A3FD5" w:rsidRDefault="007A3FD5" w:rsidP="007A3FD5">
      <w:r>
        <w:rPr>
          <w:i/>
        </w:rPr>
        <w:t>About the Conference</w:t>
      </w:r>
    </w:p>
    <w:p w:rsidR="007A3FD5" w:rsidRDefault="007A3FD5" w:rsidP="007A3FD5"/>
    <w:p w:rsidR="007A3FD5" w:rsidRPr="007A3FD5" w:rsidRDefault="007A3FD5" w:rsidP="007A3FD5">
      <w:r w:rsidRPr="007A3FD5">
        <w:t>The conference will focus on how Canadian law has</w:t>
      </w:r>
      <w:r w:rsidR="00F26683">
        <w:t xml:space="preserve"> </w:t>
      </w:r>
      <w:r w:rsidRPr="007A3FD5">
        <w:t>changed with the threat of terrorism in the decade since</w:t>
      </w:r>
      <w:r w:rsidR="00F26683">
        <w:t xml:space="preserve"> </w:t>
      </w:r>
      <w:r w:rsidRPr="007A3FD5">
        <w:t>9/11. Many of these changes have been controversial, especially</w:t>
      </w:r>
      <w:r w:rsidR="00F26683">
        <w:t xml:space="preserve"> </w:t>
      </w:r>
      <w:r w:rsidRPr="007A3FD5">
        <w:t>in the way in which they reconcile (or not) civil liberties</w:t>
      </w:r>
      <w:r w:rsidR="00F26683">
        <w:t xml:space="preserve"> </w:t>
      </w:r>
      <w:r w:rsidRPr="007A3FD5">
        <w:t>and human rights with enhanced state power to combat terrorism.</w:t>
      </w:r>
      <w:r w:rsidR="00F26683">
        <w:t xml:space="preserve"> </w:t>
      </w:r>
      <w:r w:rsidRPr="007A3FD5">
        <w:t>At the same time, the last decade has been one of several</w:t>
      </w:r>
      <w:r w:rsidR="00F26683">
        <w:t xml:space="preserve"> </w:t>
      </w:r>
      <w:r w:rsidRPr="007A3FD5">
        <w:t>public inquiries, investigating the actual practice of anti-terrorism</w:t>
      </w:r>
      <w:r w:rsidR="00F26683">
        <w:t xml:space="preserve"> </w:t>
      </w:r>
      <w:r w:rsidRPr="007A3FD5">
        <w:t>by Canada’s security services.</w:t>
      </w:r>
      <w:r w:rsidR="00F26683">
        <w:t xml:space="preserve"> </w:t>
      </w:r>
      <w:r w:rsidRPr="007A3FD5">
        <w:t>Key questions arising from the 2011 conference include, at</w:t>
      </w:r>
      <w:r w:rsidR="00F26683">
        <w:t xml:space="preserve"> </w:t>
      </w:r>
      <w:r w:rsidRPr="007A3FD5">
        <w:t>the broadest level, whether Canadian law has successfully</w:t>
      </w:r>
      <w:r w:rsidR="00F26683">
        <w:t xml:space="preserve"> </w:t>
      </w:r>
      <w:r w:rsidRPr="007A3FD5">
        <w:t>preserved fundamental rights and values of substantive and</w:t>
      </w:r>
      <w:r w:rsidR="00F26683">
        <w:t xml:space="preserve"> </w:t>
      </w:r>
      <w:r w:rsidRPr="007A3FD5">
        <w:t>procedural justice while at the same time contributing to anti</w:t>
      </w:r>
      <w:r w:rsidR="00985A60">
        <w:t>-</w:t>
      </w:r>
      <w:r w:rsidRPr="007A3FD5">
        <w:t>terrorism.</w:t>
      </w:r>
    </w:p>
    <w:p w:rsidR="00F26683" w:rsidRDefault="00F26683" w:rsidP="007A3FD5"/>
    <w:p w:rsidR="009835C9" w:rsidRDefault="00985A60" w:rsidP="007A3FD5">
      <w:r>
        <w:t>More specifically, t</w:t>
      </w:r>
      <w:r w:rsidR="007A3FD5" w:rsidRPr="007A3FD5">
        <w:t>he CIAJ 2011 conference will grapple with the practice and</w:t>
      </w:r>
      <w:r w:rsidR="00F26683">
        <w:t xml:space="preserve"> </w:t>
      </w:r>
      <w:r w:rsidR="007A3FD5" w:rsidRPr="007A3FD5">
        <w:t>law of anti-terrorism, focusing on themes such as</w:t>
      </w:r>
      <w:r w:rsidR="009835C9">
        <w:t>:</w:t>
      </w:r>
    </w:p>
    <w:p w:rsidR="007A3FD5" w:rsidRPr="007A3FD5" w:rsidRDefault="007A3FD5" w:rsidP="007A3FD5"/>
    <w:p w:rsidR="007A3FD5" w:rsidRPr="007A3FD5" w:rsidRDefault="007A3FD5" w:rsidP="009835C9">
      <w:r w:rsidRPr="007A3FD5">
        <w:t>Anti-terrorism in Context</w:t>
      </w:r>
    </w:p>
    <w:p w:rsidR="007A3FD5" w:rsidRPr="007A3FD5" w:rsidRDefault="007A3FD5" w:rsidP="009835C9">
      <w:pPr>
        <w:pStyle w:val="ListParagraph"/>
        <w:numPr>
          <w:ilvl w:val="0"/>
          <w:numId w:val="1"/>
        </w:numPr>
      </w:pPr>
      <w:r w:rsidRPr="007A3FD5">
        <w:t>Understanding the Threat Environment 10 years after 9/11</w:t>
      </w:r>
    </w:p>
    <w:p w:rsidR="007A3FD5" w:rsidRPr="007A3FD5" w:rsidRDefault="007A3FD5" w:rsidP="009835C9">
      <w:pPr>
        <w:pStyle w:val="ListParagraph"/>
        <w:numPr>
          <w:ilvl w:val="0"/>
          <w:numId w:val="1"/>
        </w:numPr>
      </w:pPr>
      <w:r w:rsidRPr="007A3FD5">
        <w:t>The Challenge of Intelligence Collection and Sharing</w:t>
      </w:r>
    </w:p>
    <w:p w:rsidR="007A3FD5" w:rsidRPr="007A3FD5" w:rsidRDefault="007A3FD5" w:rsidP="009835C9">
      <w:pPr>
        <w:pStyle w:val="ListParagraph"/>
        <w:numPr>
          <w:ilvl w:val="0"/>
          <w:numId w:val="1"/>
        </w:numPr>
      </w:pPr>
      <w:r w:rsidRPr="007A3FD5">
        <w:t>Overview of Recent Canadian and Comparative Legal</w:t>
      </w:r>
      <w:r w:rsidR="009835C9">
        <w:t xml:space="preserve"> </w:t>
      </w:r>
      <w:r w:rsidRPr="007A3FD5">
        <w:t>Developments</w:t>
      </w:r>
    </w:p>
    <w:p w:rsidR="009835C9" w:rsidRDefault="009835C9" w:rsidP="009835C9"/>
    <w:p w:rsidR="007A3FD5" w:rsidRPr="007A3FD5" w:rsidRDefault="007A3FD5" w:rsidP="009835C9">
      <w:r w:rsidRPr="007A3FD5">
        <w:t>Developments in Substantive Anti-Terrorism Law</w:t>
      </w:r>
    </w:p>
    <w:p w:rsidR="007A3FD5" w:rsidRPr="007A3FD5" w:rsidRDefault="007A3FD5" w:rsidP="009835C9">
      <w:pPr>
        <w:pStyle w:val="ListParagraph"/>
        <w:numPr>
          <w:ilvl w:val="0"/>
          <w:numId w:val="1"/>
        </w:numPr>
      </w:pPr>
      <w:r w:rsidRPr="007A3FD5">
        <w:t>Developments in Canadian Criminal Law and Anti-terrorism</w:t>
      </w:r>
    </w:p>
    <w:p w:rsidR="007A3FD5" w:rsidRPr="007A3FD5" w:rsidRDefault="007A3FD5" w:rsidP="009835C9">
      <w:pPr>
        <w:pStyle w:val="ListParagraph"/>
        <w:numPr>
          <w:ilvl w:val="0"/>
          <w:numId w:val="1"/>
        </w:numPr>
      </w:pPr>
      <w:r w:rsidRPr="007A3FD5">
        <w:t>Developments in Canadian Administrative Law and</w:t>
      </w:r>
      <w:r w:rsidR="009835C9">
        <w:t xml:space="preserve"> </w:t>
      </w:r>
      <w:r w:rsidRPr="007A3FD5">
        <w:t>Anti-terrorism</w:t>
      </w:r>
    </w:p>
    <w:p w:rsidR="009835C9" w:rsidRDefault="009835C9" w:rsidP="009835C9"/>
    <w:p w:rsidR="007A3FD5" w:rsidRPr="007A3FD5" w:rsidRDefault="007A3FD5" w:rsidP="009835C9">
      <w:r w:rsidRPr="007A3FD5">
        <w:t>Procedure and Accountability in Anti-terrorism Matters</w:t>
      </w:r>
    </w:p>
    <w:p w:rsidR="007A3FD5" w:rsidRPr="007A3FD5" w:rsidRDefault="007A3FD5" w:rsidP="009835C9">
      <w:pPr>
        <w:pStyle w:val="ListParagraph"/>
        <w:numPr>
          <w:ilvl w:val="0"/>
          <w:numId w:val="1"/>
        </w:numPr>
      </w:pPr>
      <w:r w:rsidRPr="007A3FD5">
        <w:t>Due Process and the Adjudication of Terrorism Cases</w:t>
      </w:r>
    </w:p>
    <w:p w:rsidR="009835C9" w:rsidRDefault="007A3FD5" w:rsidP="009835C9">
      <w:pPr>
        <w:pStyle w:val="ListParagraph"/>
        <w:numPr>
          <w:ilvl w:val="0"/>
          <w:numId w:val="1"/>
        </w:numPr>
      </w:pPr>
      <w:r w:rsidRPr="007A3FD5">
        <w:t>Oversight and Review of Security and Intelligence</w:t>
      </w:r>
      <w:r w:rsidR="009835C9">
        <w:t xml:space="preserve"> </w:t>
      </w:r>
      <w:r w:rsidRPr="007A3FD5">
        <w:t>Agencies</w:t>
      </w:r>
    </w:p>
    <w:p w:rsidR="009835C9" w:rsidRDefault="009835C9" w:rsidP="009835C9"/>
    <w:p w:rsidR="009835C9" w:rsidRDefault="009835C9" w:rsidP="009835C9">
      <w:r>
        <w:rPr>
          <w:i/>
        </w:rPr>
        <w:t>Call for Papers</w:t>
      </w:r>
    </w:p>
    <w:p w:rsidR="009835C9" w:rsidRDefault="009835C9" w:rsidP="009835C9"/>
    <w:p w:rsidR="00985A60" w:rsidRDefault="009835C9" w:rsidP="009835C9">
      <w:r>
        <w:t>Panels on these themes will comprise judges, government and private practitioners and academics.  By this call for papers, the CIAJ welcomes expressions of interest from academic participants</w:t>
      </w:r>
      <w:r w:rsidR="00CC04E5">
        <w:t xml:space="preserve">.  Expressions of interest should consist of a brief cover letter explaining the applicant’s research interest in the area, a </w:t>
      </w:r>
      <w:r w:rsidR="00CC04E5" w:rsidRPr="00985A60">
        <w:rPr>
          <w:i/>
        </w:rPr>
        <w:t>curriculum vitae</w:t>
      </w:r>
      <w:r w:rsidR="00985A60">
        <w:t xml:space="preserve"> and an abstract </w:t>
      </w:r>
      <w:r w:rsidR="00CC04E5">
        <w:t xml:space="preserve">of one page or less describing the paper the applicant proposes delivering.  Successful applicants will deliver </w:t>
      </w:r>
      <w:r w:rsidR="00985A60">
        <w:t xml:space="preserve">a fully analytical paper </w:t>
      </w:r>
      <w:r w:rsidR="005C2C83">
        <w:t>offer</w:t>
      </w:r>
      <w:r w:rsidR="00985A60">
        <w:t xml:space="preserve">ing a </w:t>
      </w:r>
      <w:r w:rsidR="005C2C83">
        <w:t>perspective on one of the themes</w:t>
      </w:r>
      <w:r w:rsidR="00985A60">
        <w:t xml:space="preserve"> listed above</w:t>
      </w:r>
      <w:r w:rsidR="005C2C83">
        <w:t>, or a subset of it.</w:t>
      </w:r>
    </w:p>
    <w:p w:rsidR="005D71D0" w:rsidRDefault="005D71D0" w:rsidP="009835C9"/>
    <w:p w:rsidR="005D71D0" w:rsidRDefault="005D71D0" w:rsidP="009835C9">
      <w:r>
        <w:t>Papers will be submitted to a peer-reviewed process for possible publication in a volume produced by the CIAJ after the conference.</w:t>
      </w:r>
    </w:p>
    <w:p w:rsidR="005D71D0" w:rsidRDefault="005D71D0" w:rsidP="009835C9"/>
    <w:p w:rsidR="005D71D0" w:rsidRDefault="005D71D0" w:rsidP="009835C9">
      <w:r>
        <w:rPr>
          <w:i/>
        </w:rPr>
        <w:t>Deadlines</w:t>
      </w:r>
    </w:p>
    <w:p w:rsidR="005D71D0" w:rsidRDefault="005D71D0" w:rsidP="009835C9"/>
    <w:p w:rsidR="00F3565B" w:rsidRDefault="005D71D0" w:rsidP="00F3565B">
      <w:r w:rsidRPr="00F3565B">
        <w:rPr>
          <w:b/>
        </w:rPr>
        <w:t>Expressions of interest</w:t>
      </w:r>
      <w:r w:rsidRPr="00F3565B">
        <w:t xml:space="preserve">:  </w:t>
      </w:r>
      <w:r w:rsidR="00F3565B">
        <w:t xml:space="preserve">By </w:t>
      </w:r>
      <w:r w:rsidR="00F3565B" w:rsidRPr="00F3565B">
        <w:t xml:space="preserve">Friday, </w:t>
      </w:r>
      <w:r w:rsidRPr="00F3565B">
        <w:t>October</w:t>
      </w:r>
      <w:r w:rsidR="00F3565B" w:rsidRPr="00F3565B">
        <w:t xml:space="preserve"> </w:t>
      </w:r>
      <w:r w:rsidR="00CB4345">
        <w:t>29</w:t>
      </w:r>
      <w:r w:rsidR="00F3565B" w:rsidRPr="00F3565B">
        <w:t>, 2010, via email to Christine.Robertson@ciaj-icaj.ca</w:t>
      </w:r>
      <w:r w:rsidRPr="00F3565B">
        <w:t xml:space="preserve"> </w:t>
      </w:r>
    </w:p>
    <w:p w:rsidR="00F3565B" w:rsidRDefault="00F3565B" w:rsidP="00F3565B"/>
    <w:p w:rsidR="00F3565B" w:rsidRDefault="00F3565B" w:rsidP="00F3565B">
      <w:r w:rsidRPr="007076F1">
        <w:rPr>
          <w:b/>
        </w:rPr>
        <w:t>Notice to successful candidates:</w:t>
      </w:r>
      <w:r>
        <w:t xml:space="preserve"> By end of December 2010</w:t>
      </w:r>
    </w:p>
    <w:p w:rsidR="00F3565B" w:rsidRDefault="00F3565B" w:rsidP="00F3565B"/>
    <w:p w:rsidR="007076F1" w:rsidRDefault="00F3565B" w:rsidP="00F3565B">
      <w:r w:rsidRPr="007076F1">
        <w:rPr>
          <w:b/>
        </w:rPr>
        <w:t>Draft conference paper:</w:t>
      </w:r>
      <w:r>
        <w:t xml:space="preserve"> </w:t>
      </w:r>
      <w:r w:rsidR="007076F1">
        <w:t>By Friday, May 27, 2011</w:t>
      </w:r>
    </w:p>
    <w:p w:rsidR="007076F1" w:rsidRDefault="007076F1" w:rsidP="00F3565B"/>
    <w:p w:rsidR="007076F1" w:rsidRDefault="007076F1" w:rsidP="00F3565B">
      <w:r w:rsidRPr="007076F1">
        <w:rPr>
          <w:b/>
        </w:rPr>
        <w:t>Final pre-conference paper:</w:t>
      </w:r>
      <w:r>
        <w:t xml:space="preserve"> By Friday, September 9, 2011</w:t>
      </w:r>
    </w:p>
    <w:p w:rsidR="007076F1" w:rsidRDefault="007076F1" w:rsidP="00F3565B"/>
    <w:p w:rsidR="00AF3A63" w:rsidRDefault="007076F1" w:rsidP="00F3565B">
      <w:r>
        <w:rPr>
          <w:i/>
        </w:rPr>
        <w:t xml:space="preserve">Contact persons for further information: </w:t>
      </w:r>
      <w:r>
        <w:t xml:space="preserve"> Christine Robertson, </w:t>
      </w:r>
      <w:hyperlink r:id="rId6" w:history="1">
        <w:r w:rsidR="00AF3A63" w:rsidRPr="00C633E5">
          <w:rPr>
            <w:rStyle w:val="Hyperlink"/>
          </w:rPr>
          <w:t>Christine.Robertson@ciaj-icaj.ca</w:t>
        </w:r>
      </w:hyperlink>
    </w:p>
    <w:p w:rsidR="00EE45AB" w:rsidRDefault="00AF3A63" w:rsidP="00AF3A63">
      <w:pPr>
        <w:jc w:val="center"/>
        <w:rPr>
          <w:lang w:val="fr-CA"/>
        </w:rPr>
      </w:pPr>
      <w:r w:rsidRPr="00EE45AB">
        <w:rPr>
          <w:lang w:val="fr-CA"/>
        </w:rPr>
        <w:br w:type="page"/>
      </w:r>
      <w:r w:rsidR="00EE45AB">
        <w:rPr>
          <w:noProof/>
        </w:rPr>
        <w:drawing>
          <wp:inline distT="0" distB="0" distL="0" distR="0">
            <wp:extent cx="5207508" cy="914400"/>
            <wp:effectExtent l="19050" t="0" r="0" b="0"/>
            <wp:docPr id="2" name="Picture 1" descr="MemoLet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LetHeadtop.jpg"/>
                    <pic:cNvPicPr/>
                  </pic:nvPicPr>
                  <pic:blipFill>
                    <a:blip r:embed="rId5" cstate="print"/>
                    <a:stretch>
                      <a:fillRect/>
                    </a:stretch>
                  </pic:blipFill>
                  <pic:spPr>
                    <a:xfrm>
                      <a:off x="0" y="0"/>
                      <a:ext cx="5207508" cy="914400"/>
                    </a:xfrm>
                    <a:prstGeom prst="rect">
                      <a:avLst/>
                    </a:prstGeom>
                  </pic:spPr>
                </pic:pic>
              </a:graphicData>
            </a:graphic>
          </wp:inline>
        </w:drawing>
      </w:r>
    </w:p>
    <w:p w:rsidR="00EE45AB" w:rsidRDefault="00EE45AB" w:rsidP="00AF3A63">
      <w:pPr>
        <w:jc w:val="center"/>
        <w:rPr>
          <w:lang w:val="fr-CA"/>
        </w:rPr>
      </w:pPr>
    </w:p>
    <w:p w:rsidR="00EE45AB" w:rsidRDefault="00EE45AB" w:rsidP="00AF3A63">
      <w:pPr>
        <w:jc w:val="center"/>
        <w:rPr>
          <w:lang w:val="fr-CA"/>
        </w:rPr>
      </w:pPr>
    </w:p>
    <w:p w:rsidR="00AF3A63" w:rsidRPr="00EE45AB" w:rsidRDefault="00AF3A63" w:rsidP="00AF3A63">
      <w:pPr>
        <w:jc w:val="center"/>
        <w:rPr>
          <w:b/>
          <w:lang w:val="fr-CA"/>
        </w:rPr>
      </w:pPr>
      <w:r w:rsidRPr="00EE45AB">
        <w:rPr>
          <w:b/>
          <w:lang w:val="fr-CA"/>
        </w:rPr>
        <w:t>Appel de communications</w:t>
      </w:r>
    </w:p>
    <w:p w:rsidR="00AF3A63" w:rsidRPr="00AF3A63" w:rsidRDefault="00AF3A63" w:rsidP="00AF3A63">
      <w:pPr>
        <w:jc w:val="center"/>
        <w:rPr>
          <w:lang w:val="fr-CA"/>
        </w:rPr>
      </w:pPr>
    </w:p>
    <w:p w:rsidR="00AF3A63" w:rsidRPr="00AF3A63" w:rsidRDefault="00AF3A63" w:rsidP="00AF3A63">
      <w:pPr>
        <w:jc w:val="center"/>
        <w:rPr>
          <w:lang w:val="fr-CA"/>
        </w:rPr>
      </w:pPr>
      <w:r w:rsidRPr="00AF3A63">
        <w:rPr>
          <w:lang w:val="fr-CA"/>
        </w:rPr>
        <w:t>Institut canadien d’administration de la justice</w:t>
      </w:r>
    </w:p>
    <w:p w:rsidR="00AF3A63" w:rsidRPr="00AF3A63" w:rsidRDefault="00AF3A63" w:rsidP="00AF3A63">
      <w:pPr>
        <w:jc w:val="center"/>
        <w:rPr>
          <w:lang w:val="fr-CA"/>
        </w:rPr>
      </w:pPr>
      <w:r w:rsidRPr="00AF3A63">
        <w:rPr>
          <w:lang w:val="fr-CA"/>
        </w:rPr>
        <w:t>Congrès annuel de 2011</w:t>
      </w:r>
    </w:p>
    <w:p w:rsidR="00AF3A63" w:rsidRPr="00AF3A63" w:rsidRDefault="00AF3A63" w:rsidP="00AF3A63">
      <w:pPr>
        <w:widowControl w:val="0"/>
        <w:autoSpaceDE w:val="0"/>
        <w:autoSpaceDN w:val="0"/>
        <w:adjustRightInd w:val="0"/>
        <w:jc w:val="center"/>
        <w:rPr>
          <w:rFonts w:ascii="AkzidenzGroteskBE-Bold" w:hAnsi="AkzidenzGroteskBE-Bold" w:cs="AkzidenzGroteskBE-Bold"/>
          <w:bCs/>
          <w:lang w:val="fr-CA"/>
        </w:rPr>
      </w:pPr>
      <w:r w:rsidRPr="00AF3A63">
        <w:rPr>
          <w:rFonts w:ascii="AkzidenzGroteskBE-Bold" w:hAnsi="AkzidenzGroteskBE-Bold" w:cs="AkzidenzGroteskBE-Bold"/>
          <w:bCs/>
          <w:lang w:val="fr-CA"/>
        </w:rPr>
        <w:t>13 &amp; 14 octobre 2011</w:t>
      </w:r>
    </w:p>
    <w:p w:rsidR="00AF3A63" w:rsidRPr="00AF3A63" w:rsidRDefault="00AF3A63" w:rsidP="00AF3A63">
      <w:pPr>
        <w:jc w:val="center"/>
        <w:rPr>
          <w:lang w:val="fr-CA"/>
        </w:rPr>
      </w:pPr>
      <w:r w:rsidRPr="00AF3A63">
        <w:rPr>
          <w:rFonts w:ascii="AkzidenzGroteskBE-Bold" w:hAnsi="AkzidenzGroteskBE-Bold" w:cs="AkzidenzGroteskBE-Bold"/>
          <w:bCs/>
          <w:lang w:val="fr-CA"/>
        </w:rPr>
        <w:t>Montréal (Québec)</w:t>
      </w:r>
    </w:p>
    <w:p w:rsidR="00AF3A63" w:rsidRPr="00AF3A63" w:rsidRDefault="00AF3A63" w:rsidP="00AF3A63">
      <w:pPr>
        <w:rPr>
          <w:lang w:val="fr-CA"/>
        </w:rPr>
      </w:pPr>
    </w:p>
    <w:p w:rsidR="00AF3A63" w:rsidRPr="00AF3A63" w:rsidRDefault="00AF3A63" w:rsidP="00AF3A63">
      <w:pPr>
        <w:jc w:val="center"/>
        <w:rPr>
          <w:lang w:val="fr-CA"/>
        </w:rPr>
      </w:pPr>
      <w:r w:rsidRPr="00AF3A63">
        <w:rPr>
          <w:lang w:val="fr-CA"/>
        </w:rPr>
        <w:t>Terrorisme, Droit et Démocratie: 10 ans après le 11 septembre</w:t>
      </w:r>
    </w:p>
    <w:p w:rsidR="00AF3A63" w:rsidRPr="00AF3A63" w:rsidRDefault="00AF3A63" w:rsidP="00AF3A63">
      <w:pPr>
        <w:rPr>
          <w:lang w:val="fr-CA"/>
        </w:rPr>
      </w:pPr>
    </w:p>
    <w:p w:rsidR="00AF3A63" w:rsidRPr="00AF3A63" w:rsidRDefault="00AF3A63" w:rsidP="00AF3A63">
      <w:pPr>
        <w:rPr>
          <w:lang w:val="fr-CA"/>
        </w:rPr>
      </w:pPr>
    </w:p>
    <w:p w:rsidR="00AF3A63" w:rsidRPr="009C34A8" w:rsidRDefault="00AF3A63" w:rsidP="00AF3A63">
      <w:pPr>
        <w:rPr>
          <w:lang w:val="fr-CA"/>
        </w:rPr>
      </w:pPr>
      <w:r w:rsidRPr="009C34A8">
        <w:rPr>
          <w:i/>
          <w:lang w:val="fr-CA"/>
        </w:rPr>
        <w:t>Le Congrès</w:t>
      </w:r>
    </w:p>
    <w:p w:rsidR="00AF3A63" w:rsidRPr="009C34A8" w:rsidRDefault="00AF3A63" w:rsidP="00AF3A63">
      <w:pPr>
        <w:rPr>
          <w:lang w:val="fr-CA"/>
        </w:rPr>
      </w:pPr>
    </w:p>
    <w:p w:rsidR="008E60D0" w:rsidRPr="008E60D0" w:rsidRDefault="008E60D0" w:rsidP="008E60D0">
      <w:pPr>
        <w:autoSpaceDE w:val="0"/>
        <w:autoSpaceDN w:val="0"/>
        <w:adjustRightInd w:val="0"/>
        <w:rPr>
          <w:lang w:val="fr-CA"/>
        </w:rPr>
      </w:pPr>
      <w:r w:rsidRPr="008E60D0">
        <w:rPr>
          <w:lang w:val="fr-CA"/>
        </w:rPr>
        <w:t xml:space="preserve">Le congrès va porter sur les modifications des lois canadiennes à la suite des évènements du 11 septembre 2001 pour contrer la menace posée par le terrorisme. </w:t>
      </w:r>
      <w:r w:rsidRPr="009C34A8">
        <w:rPr>
          <w:lang w:val="fr-CA"/>
        </w:rPr>
        <w:t xml:space="preserve">Bon nombre de ces modifications ont été adoptées dans la controverse que soulève le renforcement des pouvoirs de l’État au regard de la protection des droits fondamentaux et des libertés publiques. </w:t>
      </w:r>
      <w:r w:rsidRPr="008E60D0">
        <w:rPr>
          <w:lang w:val="fr-CA"/>
        </w:rPr>
        <w:t xml:space="preserve">Tout au long de cette période, plusieurs commissions d’enquête se sont penchées sur les pratiques anti-terroristes des services de sécurité du Canada. Au centre des enjeux qui feront l’objet de débats lors du congrès de 2011 se trouve la question générale de savoir si les lois canadiennes ont préservé les droits et les valeurs de la justice substantive et procédurale tout en contribuant utilement à la réduction de la menace terroriste. </w:t>
      </w:r>
    </w:p>
    <w:p w:rsidR="008E60D0" w:rsidRPr="008E60D0" w:rsidRDefault="008E60D0" w:rsidP="008E60D0">
      <w:pPr>
        <w:autoSpaceDE w:val="0"/>
        <w:autoSpaceDN w:val="0"/>
        <w:adjustRightInd w:val="0"/>
        <w:rPr>
          <w:lang w:val="fr-CA"/>
        </w:rPr>
      </w:pPr>
    </w:p>
    <w:p w:rsidR="00AF3A63" w:rsidRPr="008E60D0" w:rsidRDefault="008E60D0" w:rsidP="008E60D0">
      <w:pPr>
        <w:rPr>
          <w:lang w:val="fr-CA"/>
        </w:rPr>
      </w:pPr>
      <w:r w:rsidRPr="008E60D0">
        <w:rPr>
          <w:lang w:val="fr-CA"/>
        </w:rPr>
        <w:t xml:space="preserve">Le congrès annuel de 2011 de l’ICAJ porte plus particulièrement un regard critique sur la législation anti-terroriste et son application sous plusieurs angles comme </w:t>
      </w:r>
    </w:p>
    <w:tbl>
      <w:tblPr>
        <w:tblW w:w="0" w:type="auto"/>
        <w:tblLook w:val="00BF"/>
      </w:tblPr>
      <w:tblGrid>
        <w:gridCol w:w="8856"/>
      </w:tblGrid>
      <w:tr w:rsidR="008E60D0" w:rsidRPr="00EE45AB">
        <w:tc>
          <w:tcPr>
            <w:tcW w:w="8856" w:type="dxa"/>
            <w:shd w:val="clear" w:color="auto" w:fill="auto"/>
          </w:tcPr>
          <w:p w:rsidR="008E60D0" w:rsidRPr="009C34A8" w:rsidRDefault="008E60D0" w:rsidP="008E60D0">
            <w:pPr>
              <w:rPr>
                <w:lang w:val="fr-CA"/>
              </w:rPr>
            </w:pPr>
          </w:p>
          <w:p w:rsidR="008E60D0" w:rsidRPr="009C34A8" w:rsidRDefault="008E60D0" w:rsidP="008E60D0">
            <w:pPr>
              <w:rPr>
                <w:lang w:val="fr-CA"/>
              </w:rPr>
            </w:pPr>
            <w:r w:rsidRPr="009C34A8">
              <w:rPr>
                <w:lang w:val="fr-CA"/>
              </w:rPr>
              <w:t xml:space="preserve">Le contexte actuel de la lutte au terrorisme </w:t>
            </w:r>
          </w:p>
          <w:p w:rsidR="008E60D0" w:rsidRPr="009C34A8" w:rsidRDefault="008E60D0" w:rsidP="008E60D0">
            <w:pPr>
              <w:rPr>
                <w:lang w:val="fr-CA"/>
              </w:rPr>
            </w:pPr>
          </w:p>
        </w:tc>
      </w:tr>
      <w:tr w:rsidR="008E60D0" w:rsidRPr="00EE45AB">
        <w:tc>
          <w:tcPr>
            <w:tcW w:w="8856" w:type="dxa"/>
            <w:shd w:val="clear" w:color="auto" w:fill="auto"/>
          </w:tcPr>
          <w:p w:rsidR="008E60D0" w:rsidRPr="00C109B0" w:rsidRDefault="008E60D0" w:rsidP="00C109B0">
            <w:pPr>
              <w:pStyle w:val="ListParagraph"/>
              <w:numPr>
                <w:ilvl w:val="0"/>
                <w:numId w:val="6"/>
              </w:numPr>
              <w:rPr>
                <w:lang w:val="fr-CA"/>
              </w:rPr>
            </w:pPr>
            <w:r w:rsidRPr="00C109B0">
              <w:rPr>
                <w:lang w:val="fr-CA"/>
              </w:rPr>
              <w:t>La menace du terrorisme dix ans après les évènements du 9 septembre 2001</w:t>
            </w:r>
          </w:p>
        </w:tc>
      </w:tr>
      <w:tr w:rsidR="008E60D0" w:rsidRPr="00EE45AB">
        <w:tc>
          <w:tcPr>
            <w:tcW w:w="8856" w:type="dxa"/>
            <w:shd w:val="clear" w:color="auto" w:fill="auto"/>
          </w:tcPr>
          <w:p w:rsidR="008E60D0" w:rsidRPr="00C109B0" w:rsidRDefault="008E60D0" w:rsidP="00C109B0">
            <w:pPr>
              <w:pStyle w:val="ListParagraph"/>
              <w:numPr>
                <w:ilvl w:val="0"/>
                <w:numId w:val="6"/>
              </w:numPr>
              <w:rPr>
                <w:lang w:val="fr-CA"/>
              </w:rPr>
            </w:pPr>
            <w:r w:rsidRPr="00C109B0">
              <w:rPr>
                <w:lang w:val="fr-CA"/>
              </w:rPr>
              <w:t>Les problèmes reliés à la collecte et au partage de renseignements</w:t>
            </w:r>
          </w:p>
        </w:tc>
      </w:tr>
      <w:tr w:rsidR="008E60D0" w:rsidRPr="00EE45AB">
        <w:tc>
          <w:tcPr>
            <w:tcW w:w="8856" w:type="dxa"/>
            <w:shd w:val="clear" w:color="auto" w:fill="auto"/>
          </w:tcPr>
          <w:p w:rsidR="008E60D0" w:rsidRPr="00C109B0" w:rsidRDefault="008E60D0" w:rsidP="00C109B0">
            <w:pPr>
              <w:pStyle w:val="ListParagraph"/>
              <w:numPr>
                <w:ilvl w:val="0"/>
                <w:numId w:val="6"/>
              </w:numPr>
              <w:rPr>
                <w:lang w:val="fr-CA"/>
              </w:rPr>
            </w:pPr>
            <w:r w:rsidRPr="00C109B0">
              <w:rPr>
                <w:lang w:val="fr-CA"/>
              </w:rPr>
              <w:t xml:space="preserve">L’évolution des approches en droit canadien et en droit </w:t>
            </w:r>
            <w:r w:rsidR="00C109B0" w:rsidRPr="00C109B0">
              <w:rPr>
                <w:lang w:val="fr-CA"/>
              </w:rPr>
              <w:t>compare</w:t>
            </w:r>
          </w:p>
          <w:p w:rsidR="008E60D0" w:rsidRPr="00C109B0" w:rsidRDefault="008E60D0" w:rsidP="008E60D0">
            <w:pPr>
              <w:rPr>
                <w:lang w:val="fr-CA"/>
              </w:rPr>
            </w:pPr>
          </w:p>
        </w:tc>
      </w:tr>
      <w:tr w:rsidR="008E60D0" w:rsidRPr="00EE45AB">
        <w:tc>
          <w:tcPr>
            <w:tcW w:w="8856" w:type="dxa"/>
            <w:shd w:val="clear" w:color="auto" w:fill="auto"/>
          </w:tcPr>
          <w:p w:rsidR="008E60D0" w:rsidRPr="009C34A8" w:rsidRDefault="008E60D0" w:rsidP="008E60D0">
            <w:pPr>
              <w:rPr>
                <w:lang w:val="fr-CA"/>
              </w:rPr>
            </w:pPr>
            <w:r w:rsidRPr="009C34A8">
              <w:rPr>
                <w:lang w:val="fr-CA"/>
              </w:rPr>
              <w:t>Les développements législatifs en matière anti-terroriste</w:t>
            </w:r>
          </w:p>
          <w:p w:rsidR="008E60D0" w:rsidRPr="009C34A8" w:rsidRDefault="008E60D0" w:rsidP="008E60D0">
            <w:pPr>
              <w:rPr>
                <w:lang w:val="fr-CA"/>
              </w:rPr>
            </w:pPr>
          </w:p>
        </w:tc>
      </w:tr>
      <w:tr w:rsidR="008E60D0" w:rsidRPr="00EE45AB">
        <w:tc>
          <w:tcPr>
            <w:tcW w:w="8856" w:type="dxa"/>
            <w:shd w:val="clear" w:color="auto" w:fill="auto"/>
          </w:tcPr>
          <w:p w:rsidR="008E60D0" w:rsidRPr="009C34A8" w:rsidRDefault="008E60D0" w:rsidP="00C109B0">
            <w:pPr>
              <w:pStyle w:val="ListParagraph"/>
              <w:numPr>
                <w:ilvl w:val="0"/>
                <w:numId w:val="7"/>
              </w:numPr>
              <w:rPr>
                <w:lang w:val="fr-CA"/>
              </w:rPr>
            </w:pPr>
            <w:r w:rsidRPr="009C34A8">
              <w:rPr>
                <w:lang w:val="fr-CA"/>
              </w:rPr>
              <w:t xml:space="preserve">Les développements du droit pénal canadien  </w:t>
            </w:r>
          </w:p>
        </w:tc>
      </w:tr>
    </w:tbl>
    <w:p w:rsidR="008E60D0" w:rsidRPr="009C34A8" w:rsidRDefault="008E60D0" w:rsidP="00C109B0">
      <w:pPr>
        <w:pStyle w:val="ListParagraph"/>
        <w:numPr>
          <w:ilvl w:val="0"/>
          <w:numId w:val="7"/>
        </w:numPr>
        <w:rPr>
          <w:lang w:val="fr-CA"/>
        </w:rPr>
      </w:pPr>
      <w:r w:rsidRPr="009C34A8">
        <w:rPr>
          <w:lang w:val="fr-CA"/>
        </w:rPr>
        <w:t>Les développements du droit administratif canadien</w:t>
      </w:r>
    </w:p>
    <w:tbl>
      <w:tblPr>
        <w:tblW w:w="0" w:type="auto"/>
        <w:tblLook w:val="00BF"/>
      </w:tblPr>
      <w:tblGrid>
        <w:gridCol w:w="8856"/>
      </w:tblGrid>
      <w:tr w:rsidR="008E60D0" w:rsidRPr="00EE45AB">
        <w:tc>
          <w:tcPr>
            <w:tcW w:w="8856" w:type="dxa"/>
            <w:shd w:val="clear" w:color="auto" w:fill="auto"/>
          </w:tcPr>
          <w:p w:rsidR="008E60D0" w:rsidRPr="009C34A8" w:rsidRDefault="008E60D0" w:rsidP="008E60D0">
            <w:pPr>
              <w:rPr>
                <w:lang w:val="fr-CA"/>
              </w:rPr>
            </w:pPr>
          </w:p>
          <w:p w:rsidR="008E60D0" w:rsidRPr="009C34A8" w:rsidRDefault="008E60D0" w:rsidP="008E60D0">
            <w:pPr>
              <w:rPr>
                <w:lang w:val="fr-CA"/>
              </w:rPr>
            </w:pPr>
            <w:r w:rsidRPr="009C34A8">
              <w:rPr>
                <w:lang w:val="fr-CA"/>
              </w:rPr>
              <w:t>Procédure et imputabilité en matière de dossiers anti-terroristes</w:t>
            </w:r>
          </w:p>
          <w:p w:rsidR="008E60D0" w:rsidRPr="009C34A8" w:rsidRDefault="008E60D0" w:rsidP="008E60D0">
            <w:pPr>
              <w:rPr>
                <w:lang w:val="fr-CA"/>
              </w:rPr>
            </w:pPr>
          </w:p>
        </w:tc>
      </w:tr>
      <w:tr w:rsidR="008E60D0" w:rsidRPr="00EE45AB">
        <w:tc>
          <w:tcPr>
            <w:tcW w:w="8856" w:type="dxa"/>
            <w:shd w:val="clear" w:color="auto" w:fill="auto"/>
          </w:tcPr>
          <w:p w:rsidR="008E60D0" w:rsidRPr="009C34A8" w:rsidRDefault="008E60D0" w:rsidP="00C109B0">
            <w:pPr>
              <w:pStyle w:val="ListParagraph"/>
              <w:numPr>
                <w:ilvl w:val="0"/>
                <w:numId w:val="8"/>
              </w:numPr>
              <w:rPr>
                <w:lang w:val="fr-CA"/>
              </w:rPr>
            </w:pPr>
            <w:r w:rsidRPr="009C34A8">
              <w:rPr>
                <w:lang w:val="fr-CA"/>
              </w:rPr>
              <w:t xml:space="preserve">Les garanties procédurales dans la conduite des procès </w:t>
            </w:r>
          </w:p>
        </w:tc>
      </w:tr>
      <w:tr w:rsidR="008E60D0" w:rsidRPr="00EE45AB">
        <w:tc>
          <w:tcPr>
            <w:tcW w:w="8856" w:type="dxa"/>
            <w:shd w:val="clear" w:color="auto" w:fill="auto"/>
          </w:tcPr>
          <w:p w:rsidR="008E60D0" w:rsidRPr="009C34A8" w:rsidRDefault="008E60D0" w:rsidP="00C109B0">
            <w:pPr>
              <w:pStyle w:val="ListParagraph"/>
              <w:numPr>
                <w:ilvl w:val="0"/>
                <w:numId w:val="8"/>
              </w:numPr>
              <w:rPr>
                <w:lang w:val="fr-CA"/>
              </w:rPr>
            </w:pPr>
            <w:r w:rsidRPr="009C34A8">
              <w:rPr>
                <w:lang w:val="fr-CA"/>
              </w:rPr>
              <w:t>La surveillance et le contrôle des services de sécurité et de renseignements</w:t>
            </w:r>
          </w:p>
        </w:tc>
      </w:tr>
    </w:tbl>
    <w:p w:rsidR="00AF3A63" w:rsidRPr="009C34A8" w:rsidRDefault="00AF3A63" w:rsidP="00AF3A63">
      <w:pPr>
        <w:rPr>
          <w:lang w:val="fr-CA"/>
        </w:rPr>
      </w:pPr>
    </w:p>
    <w:p w:rsidR="00AF3A63" w:rsidRPr="00EE45AB" w:rsidRDefault="00BF45DB" w:rsidP="00AF3A63">
      <w:pPr>
        <w:rPr>
          <w:lang w:val="fr-CA"/>
        </w:rPr>
      </w:pPr>
      <w:r w:rsidRPr="00EE45AB">
        <w:rPr>
          <w:i/>
          <w:lang w:val="fr-CA"/>
        </w:rPr>
        <w:t>A</w:t>
      </w:r>
      <w:r w:rsidR="00C109B0" w:rsidRPr="00EE45AB">
        <w:rPr>
          <w:i/>
          <w:lang w:val="fr-CA"/>
        </w:rPr>
        <w:t>ppel de communications</w:t>
      </w:r>
    </w:p>
    <w:p w:rsidR="00AF3A63" w:rsidRPr="00EE45AB" w:rsidRDefault="00AF3A63" w:rsidP="00AF3A63">
      <w:pPr>
        <w:rPr>
          <w:lang w:val="fr-CA"/>
        </w:rPr>
      </w:pPr>
    </w:p>
    <w:p w:rsidR="00AF3A63" w:rsidRPr="00D307EB" w:rsidRDefault="00C109B0" w:rsidP="00AF3A63">
      <w:pPr>
        <w:rPr>
          <w:lang w:val="fr-CA"/>
        </w:rPr>
      </w:pPr>
      <w:r w:rsidRPr="00C109B0">
        <w:rPr>
          <w:lang w:val="fr-CA"/>
        </w:rPr>
        <w:t>Les p</w:t>
      </w:r>
      <w:r w:rsidR="00AF3A63" w:rsidRPr="00C109B0">
        <w:rPr>
          <w:lang w:val="fr-CA"/>
        </w:rPr>
        <w:t xml:space="preserve">anels </w:t>
      </w:r>
      <w:r w:rsidRPr="00C109B0">
        <w:rPr>
          <w:lang w:val="fr-CA"/>
        </w:rPr>
        <w:t>sur ces sujets inclur</w:t>
      </w:r>
      <w:r w:rsidR="00AF3A63" w:rsidRPr="00C109B0">
        <w:rPr>
          <w:lang w:val="fr-CA"/>
        </w:rPr>
        <w:t>on</w:t>
      </w:r>
      <w:r w:rsidRPr="00C109B0">
        <w:rPr>
          <w:lang w:val="fr-CA"/>
        </w:rPr>
        <w:t xml:space="preserve">t la participation de </w:t>
      </w:r>
      <w:r w:rsidR="00AF3A63" w:rsidRPr="00C109B0">
        <w:rPr>
          <w:lang w:val="fr-CA"/>
        </w:rPr>
        <w:t xml:space="preserve">juges, </w:t>
      </w:r>
      <w:r w:rsidRPr="00C109B0">
        <w:rPr>
          <w:lang w:val="fr-CA"/>
        </w:rPr>
        <w:t>d</w:t>
      </w:r>
      <w:r>
        <w:rPr>
          <w:lang w:val="fr-CA"/>
        </w:rPr>
        <w:t xml:space="preserve">’avocats en </w:t>
      </w:r>
      <w:r w:rsidRPr="00C109B0">
        <w:rPr>
          <w:lang w:val="fr-CA"/>
        </w:rPr>
        <w:t>prati</w:t>
      </w:r>
      <w:r>
        <w:rPr>
          <w:lang w:val="fr-CA"/>
        </w:rPr>
        <w:t>que privée et fonctionnaires et d’universitaires</w:t>
      </w:r>
      <w:r w:rsidR="00AF3A63" w:rsidRPr="00C109B0">
        <w:rPr>
          <w:lang w:val="fr-CA"/>
        </w:rPr>
        <w:t xml:space="preserve">.  </w:t>
      </w:r>
      <w:r w:rsidR="009C34A8">
        <w:rPr>
          <w:lang w:val="fr-CA"/>
        </w:rPr>
        <w:t>L</w:t>
      </w:r>
      <w:r w:rsidR="009C34A8" w:rsidRPr="009C34A8">
        <w:rPr>
          <w:lang w:val="fr-CA"/>
        </w:rPr>
        <w:t xml:space="preserve">’ICAJ sollicite des propositions de communications </w:t>
      </w:r>
      <w:r w:rsidR="009C34A8">
        <w:rPr>
          <w:lang w:val="fr-CA"/>
        </w:rPr>
        <w:t xml:space="preserve">auprès </w:t>
      </w:r>
      <w:r w:rsidR="009C34A8" w:rsidRPr="009C34A8">
        <w:rPr>
          <w:lang w:val="fr-CA"/>
        </w:rPr>
        <w:t>d</w:t>
      </w:r>
      <w:r w:rsidR="009C34A8">
        <w:rPr>
          <w:lang w:val="fr-CA"/>
        </w:rPr>
        <w:t xml:space="preserve">u milieu </w:t>
      </w:r>
      <w:r w:rsidR="009C34A8" w:rsidRPr="009C34A8">
        <w:rPr>
          <w:lang w:val="fr-CA"/>
        </w:rPr>
        <w:t>académique</w:t>
      </w:r>
      <w:r w:rsidR="00AF3A63" w:rsidRPr="009C34A8">
        <w:rPr>
          <w:lang w:val="fr-CA"/>
        </w:rPr>
        <w:t xml:space="preserve">.  </w:t>
      </w:r>
      <w:r w:rsidR="009C34A8" w:rsidRPr="00D307EB">
        <w:rPr>
          <w:lang w:val="fr-CA"/>
        </w:rPr>
        <w:t xml:space="preserve">Les </w:t>
      </w:r>
      <w:r w:rsidR="00D307EB" w:rsidRPr="00D307EB">
        <w:rPr>
          <w:lang w:val="fr-CA"/>
        </w:rPr>
        <w:t xml:space="preserve">candidats sont invités à manifester leur intérêt en faisant parvenir une </w:t>
      </w:r>
      <w:r w:rsidR="00D307EB">
        <w:rPr>
          <w:lang w:val="fr-CA"/>
        </w:rPr>
        <w:t>courte lett</w:t>
      </w:r>
      <w:r w:rsidR="00D307EB" w:rsidRPr="00D307EB">
        <w:rPr>
          <w:lang w:val="fr-CA"/>
        </w:rPr>
        <w:t>r</w:t>
      </w:r>
      <w:r w:rsidR="00D307EB">
        <w:rPr>
          <w:lang w:val="fr-CA"/>
        </w:rPr>
        <w:t>e</w:t>
      </w:r>
      <w:r w:rsidR="00D307EB" w:rsidRPr="00D307EB">
        <w:rPr>
          <w:lang w:val="fr-CA"/>
        </w:rPr>
        <w:t xml:space="preserve"> </w:t>
      </w:r>
      <w:r w:rsidR="007D2548">
        <w:rPr>
          <w:lang w:val="fr-CA"/>
        </w:rPr>
        <w:t>sur</w:t>
      </w:r>
      <w:r w:rsidR="00D307EB">
        <w:rPr>
          <w:lang w:val="fr-CA"/>
        </w:rPr>
        <w:t xml:space="preserve"> </w:t>
      </w:r>
      <w:r w:rsidR="00D307EB" w:rsidRPr="00D307EB">
        <w:rPr>
          <w:lang w:val="fr-CA"/>
        </w:rPr>
        <w:t>le</w:t>
      </w:r>
      <w:r w:rsidR="00D307EB">
        <w:rPr>
          <w:lang w:val="fr-CA"/>
        </w:rPr>
        <w:t>ur</w:t>
      </w:r>
      <w:r w:rsidR="00D307EB" w:rsidRPr="00D307EB">
        <w:rPr>
          <w:lang w:val="fr-CA"/>
        </w:rPr>
        <w:t xml:space="preserve"> champ d</w:t>
      </w:r>
      <w:r w:rsidR="00D307EB">
        <w:rPr>
          <w:lang w:val="fr-CA"/>
        </w:rPr>
        <w:t>e recherche dans ce domaine, un</w:t>
      </w:r>
      <w:r w:rsidR="00AF3A63" w:rsidRPr="00D307EB">
        <w:rPr>
          <w:lang w:val="fr-CA"/>
        </w:rPr>
        <w:t xml:space="preserve"> </w:t>
      </w:r>
      <w:r w:rsidR="00AF3A63" w:rsidRPr="00D307EB">
        <w:rPr>
          <w:i/>
          <w:lang w:val="fr-CA"/>
        </w:rPr>
        <w:t>curriculum vitae</w:t>
      </w:r>
      <w:r w:rsidR="00AF3A63" w:rsidRPr="00D307EB">
        <w:rPr>
          <w:lang w:val="fr-CA"/>
        </w:rPr>
        <w:t xml:space="preserve"> </w:t>
      </w:r>
      <w:r w:rsidR="00D307EB">
        <w:rPr>
          <w:lang w:val="fr-CA"/>
        </w:rPr>
        <w:t xml:space="preserve">et un résumé d’une page ou moins </w:t>
      </w:r>
      <w:r w:rsidR="00AF3A63" w:rsidRPr="00D307EB">
        <w:rPr>
          <w:lang w:val="fr-CA"/>
        </w:rPr>
        <w:t>d</w:t>
      </w:r>
      <w:r w:rsidR="00D307EB">
        <w:rPr>
          <w:lang w:val="fr-CA"/>
        </w:rPr>
        <w:t>écrivant l</w:t>
      </w:r>
      <w:r w:rsidR="007D2548">
        <w:rPr>
          <w:lang w:val="fr-CA"/>
        </w:rPr>
        <w:t>a communication qu’ils</w:t>
      </w:r>
      <w:r w:rsidR="00D307EB">
        <w:rPr>
          <w:lang w:val="fr-CA"/>
        </w:rPr>
        <w:t xml:space="preserve"> </w:t>
      </w:r>
      <w:r w:rsidR="00AF3A63" w:rsidRPr="00D307EB">
        <w:rPr>
          <w:lang w:val="fr-CA"/>
        </w:rPr>
        <w:t>propose</w:t>
      </w:r>
      <w:r w:rsidR="00D307EB">
        <w:rPr>
          <w:lang w:val="fr-CA"/>
        </w:rPr>
        <w:t>nt</w:t>
      </w:r>
      <w:r w:rsidR="00AF3A63" w:rsidRPr="00D307EB">
        <w:rPr>
          <w:lang w:val="fr-CA"/>
        </w:rPr>
        <w:t xml:space="preserve"> </w:t>
      </w:r>
      <w:r w:rsidR="00D307EB">
        <w:rPr>
          <w:lang w:val="fr-CA"/>
        </w:rPr>
        <w:t>d’exposer</w:t>
      </w:r>
      <w:r w:rsidR="00AF3A63" w:rsidRPr="00D307EB">
        <w:rPr>
          <w:lang w:val="fr-CA"/>
        </w:rPr>
        <w:t xml:space="preserve">.  </w:t>
      </w:r>
      <w:r w:rsidR="00D307EB" w:rsidRPr="00D307EB">
        <w:rPr>
          <w:lang w:val="fr-CA"/>
        </w:rPr>
        <w:t>Les candidats retenus devront soumettre un</w:t>
      </w:r>
      <w:r w:rsidR="007D2548">
        <w:rPr>
          <w:lang w:val="fr-CA"/>
        </w:rPr>
        <w:t>e</w:t>
      </w:r>
      <w:r w:rsidR="00D307EB" w:rsidRPr="00D307EB">
        <w:rPr>
          <w:lang w:val="fr-CA"/>
        </w:rPr>
        <w:t xml:space="preserve"> </w:t>
      </w:r>
      <w:r w:rsidR="007D2548">
        <w:rPr>
          <w:lang w:val="fr-CA"/>
        </w:rPr>
        <w:t>communication</w:t>
      </w:r>
      <w:r w:rsidR="00D307EB" w:rsidRPr="00D307EB">
        <w:rPr>
          <w:lang w:val="fr-CA"/>
        </w:rPr>
        <w:t xml:space="preserve"> </w:t>
      </w:r>
      <w:r w:rsidR="007D2548">
        <w:rPr>
          <w:lang w:val="fr-CA"/>
        </w:rPr>
        <w:t xml:space="preserve">examinant </w:t>
      </w:r>
      <w:r w:rsidR="00D307EB" w:rsidRPr="00D307EB">
        <w:rPr>
          <w:lang w:val="fr-CA"/>
        </w:rPr>
        <w:t>d</w:t>
      </w:r>
      <w:r w:rsidR="007D2548">
        <w:rPr>
          <w:lang w:val="fr-CA"/>
        </w:rPr>
        <w:t xml:space="preserve">e façon </w:t>
      </w:r>
      <w:r w:rsidR="00D307EB" w:rsidRPr="00D307EB">
        <w:rPr>
          <w:lang w:val="fr-CA"/>
        </w:rPr>
        <w:t>analy</w:t>
      </w:r>
      <w:r w:rsidR="007D2548">
        <w:rPr>
          <w:lang w:val="fr-CA"/>
        </w:rPr>
        <w:t>tique</w:t>
      </w:r>
      <w:r w:rsidR="00D307EB" w:rsidRPr="00D307EB">
        <w:rPr>
          <w:lang w:val="fr-CA"/>
        </w:rPr>
        <w:t xml:space="preserve"> un des th</w:t>
      </w:r>
      <w:r w:rsidR="00D307EB">
        <w:rPr>
          <w:lang w:val="fr-CA"/>
        </w:rPr>
        <w:t>è</w:t>
      </w:r>
      <w:r w:rsidR="00D307EB" w:rsidRPr="00D307EB">
        <w:rPr>
          <w:lang w:val="fr-CA"/>
        </w:rPr>
        <w:t xml:space="preserve">mes </w:t>
      </w:r>
      <w:r w:rsidR="00D307EB">
        <w:rPr>
          <w:lang w:val="fr-CA"/>
        </w:rPr>
        <w:t>ou sous-thèmes énoncés ci-dessus</w:t>
      </w:r>
      <w:r w:rsidR="00AF3A63" w:rsidRPr="00D307EB">
        <w:rPr>
          <w:lang w:val="fr-CA"/>
        </w:rPr>
        <w:t>.</w:t>
      </w:r>
    </w:p>
    <w:p w:rsidR="00AF3A63" w:rsidRPr="00D307EB" w:rsidRDefault="00AF3A63" w:rsidP="00AF3A63">
      <w:pPr>
        <w:rPr>
          <w:lang w:val="fr-CA"/>
        </w:rPr>
      </w:pPr>
    </w:p>
    <w:p w:rsidR="00AF3A63" w:rsidRPr="007D2548" w:rsidRDefault="007D2548" w:rsidP="00AF3A63">
      <w:pPr>
        <w:rPr>
          <w:lang w:val="fr-CA"/>
        </w:rPr>
      </w:pPr>
      <w:r w:rsidRPr="007D2548">
        <w:rPr>
          <w:lang w:val="fr-CA"/>
        </w:rPr>
        <w:t>Les propositions feront l’objet d’un processus d’évaluation en vue d</w:t>
      </w:r>
      <w:r>
        <w:rPr>
          <w:lang w:val="fr-CA"/>
        </w:rPr>
        <w:t xml:space="preserve">e la </w:t>
      </w:r>
      <w:r w:rsidRPr="007D2548">
        <w:rPr>
          <w:lang w:val="fr-CA"/>
        </w:rPr>
        <w:t xml:space="preserve">publication </w:t>
      </w:r>
      <w:r>
        <w:rPr>
          <w:lang w:val="fr-CA"/>
        </w:rPr>
        <w:t>d’un ouvrage produit par l’ICAJ après le congrès</w:t>
      </w:r>
      <w:r w:rsidR="00AF3A63" w:rsidRPr="007D2548">
        <w:rPr>
          <w:lang w:val="fr-CA"/>
        </w:rPr>
        <w:t>.</w:t>
      </w:r>
    </w:p>
    <w:p w:rsidR="00AF3A63" w:rsidRPr="007D2548" w:rsidRDefault="00AF3A63" w:rsidP="00AF3A63">
      <w:pPr>
        <w:rPr>
          <w:lang w:val="fr-CA"/>
        </w:rPr>
      </w:pPr>
    </w:p>
    <w:p w:rsidR="00AF3A63" w:rsidRPr="00EE45AB" w:rsidRDefault="00AF3A63" w:rsidP="00AF3A63">
      <w:pPr>
        <w:rPr>
          <w:lang w:val="fr-CA"/>
        </w:rPr>
      </w:pPr>
      <w:r w:rsidRPr="00EE45AB">
        <w:rPr>
          <w:i/>
          <w:lang w:val="fr-CA"/>
        </w:rPr>
        <w:t>D</w:t>
      </w:r>
      <w:r w:rsidR="007D2548" w:rsidRPr="00EE45AB">
        <w:rPr>
          <w:i/>
          <w:lang w:val="fr-CA"/>
        </w:rPr>
        <w:t>élais</w:t>
      </w:r>
    </w:p>
    <w:p w:rsidR="00AF3A63" w:rsidRPr="00EE45AB" w:rsidRDefault="00AF3A63" w:rsidP="00AF3A63">
      <w:pPr>
        <w:rPr>
          <w:lang w:val="fr-CA"/>
        </w:rPr>
      </w:pPr>
    </w:p>
    <w:p w:rsidR="00AF3A63" w:rsidRPr="007D2548" w:rsidRDefault="007D2548" w:rsidP="00AF3A63">
      <w:pPr>
        <w:rPr>
          <w:lang w:val="fr-CA"/>
        </w:rPr>
      </w:pPr>
      <w:r w:rsidRPr="007D2548">
        <w:rPr>
          <w:b/>
          <w:lang w:val="fr-CA"/>
        </w:rPr>
        <w:t>Manifestations d’intérêt</w:t>
      </w:r>
      <w:r>
        <w:rPr>
          <w:b/>
          <w:lang w:val="fr-CA"/>
        </w:rPr>
        <w:t xml:space="preserve"> </w:t>
      </w:r>
      <w:r w:rsidR="00AF3A63" w:rsidRPr="007D2548">
        <w:rPr>
          <w:lang w:val="fr-CA"/>
        </w:rPr>
        <w:t xml:space="preserve">: </w:t>
      </w:r>
      <w:r w:rsidRPr="007D2548">
        <w:rPr>
          <w:lang w:val="fr-CA"/>
        </w:rPr>
        <w:t xml:space="preserve">avant le vendredi </w:t>
      </w:r>
      <w:r w:rsidR="00CB4345">
        <w:rPr>
          <w:lang w:val="fr-CA"/>
        </w:rPr>
        <w:t>29</w:t>
      </w:r>
      <w:r w:rsidRPr="007D2548">
        <w:rPr>
          <w:lang w:val="fr-CA"/>
        </w:rPr>
        <w:t xml:space="preserve"> octobre</w:t>
      </w:r>
      <w:r w:rsidR="00AF3A63" w:rsidRPr="007D2548">
        <w:rPr>
          <w:lang w:val="fr-CA"/>
        </w:rPr>
        <w:t xml:space="preserve"> 2010, </w:t>
      </w:r>
      <w:r w:rsidRPr="007D2548">
        <w:rPr>
          <w:lang w:val="fr-CA"/>
        </w:rPr>
        <w:t xml:space="preserve">par courriel à </w:t>
      </w:r>
      <w:r w:rsidR="00AF3A63" w:rsidRPr="007D2548">
        <w:rPr>
          <w:lang w:val="fr-CA"/>
        </w:rPr>
        <w:t xml:space="preserve"> Christine.Robertson@ciaj-icaj.ca </w:t>
      </w:r>
    </w:p>
    <w:p w:rsidR="00AF3A63" w:rsidRPr="007D2548" w:rsidRDefault="00AF3A63" w:rsidP="00AF3A63">
      <w:pPr>
        <w:rPr>
          <w:lang w:val="fr-CA"/>
        </w:rPr>
      </w:pPr>
    </w:p>
    <w:p w:rsidR="00AF3A63" w:rsidRPr="00BF45DB" w:rsidRDefault="00BF45DB" w:rsidP="00AF3A63">
      <w:pPr>
        <w:rPr>
          <w:lang w:val="fr-CA"/>
        </w:rPr>
      </w:pPr>
      <w:r w:rsidRPr="00BF45DB">
        <w:rPr>
          <w:b/>
          <w:lang w:val="fr-CA"/>
        </w:rPr>
        <w:t xml:space="preserve">Avis aux candidats retenus </w:t>
      </w:r>
      <w:r w:rsidR="00AF3A63" w:rsidRPr="00BF45DB">
        <w:rPr>
          <w:b/>
          <w:lang w:val="fr-CA"/>
        </w:rPr>
        <w:t>:</w:t>
      </w:r>
      <w:r w:rsidR="00AF3A63" w:rsidRPr="00BF45DB">
        <w:rPr>
          <w:lang w:val="fr-CA"/>
        </w:rPr>
        <w:t xml:space="preserve"> </w:t>
      </w:r>
      <w:r w:rsidRPr="00BF45DB">
        <w:rPr>
          <w:lang w:val="fr-CA"/>
        </w:rPr>
        <w:t>avant la fin décembre</w:t>
      </w:r>
      <w:r w:rsidR="00AF3A63" w:rsidRPr="00BF45DB">
        <w:rPr>
          <w:lang w:val="fr-CA"/>
        </w:rPr>
        <w:t xml:space="preserve"> 2010</w:t>
      </w:r>
    </w:p>
    <w:p w:rsidR="00AF3A63" w:rsidRPr="00BF45DB" w:rsidRDefault="00AF3A63" w:rsidP="00AF3A63">
      <w:pPr>
        <w:rPr>
          <w:lang w:val="fr-CA"/>
        </w:rPr>
      </w:pPr>
    </w:p>
    <w:p w:rsidR="00AF3A63" w:rsidRPr="00BF45DB" w:rsidRDefault="00BF45DB" w:rsidP="00AF3A63">
      <w:pPr>
        <w:rPr>
          <w:lang w:val="fr-CA"/>
        </w:rPr>
      </w:pPr>
      <w:r>
        <w:rPr>
          <w:b/>
          <w:lang w:val="fr-CA"/>
        </w:rPr>
        <w:t xml:space="preserve">Version préliminaire </w:t>
      </w:r>
      <w:r w:rsidRPr="00BF45DB">
        <w:rPr>
          <w:b/>
          <w:lang w:val="fr-CA"/>
        </w:rPr>
        <w:t xml:space="preserve">de </w:t>
      </w:r>
      <w:r>
        <w:rPr>
          <w:b/>
          <w:lang w:val="fr-CA"/>
        </w:rPr>
        <w:t xml:space="preserve">la </w:t>
      </w:r>
      <w:r w:rsidRPr="00BF45DB">
        <w:rPr>
          <w:b/>
          <w:lang w:val="fr-CA"/>
        </w:rPr>
        <w:t xml:space="preserve">communication pour le congrès </w:t>
      </w:r>
      <w:r w:rsidR="00AF3A63" w:rsidRPr="00BF45DB">
        <w:rPr>
          <w:b/>
          <w:lang w:val="fr-CA"/>
        </w:rPr>
        <w:t>:</w:t>
      </w:r>
      <w:r w:rsidR="00AF3A63" w:rsidRPr="00BF45DB">
        <w:rPr>
          <w:lang w:val="fr-CA"/>
        </w:rPr>
        <w:t xml:space="preserve"> </w:t>
      </w:r>
      <w:r>
        <w:rPr>
          <w:lang w:val="fr-CA"/>
        </w:rPr>
        <w:t>avant le vendredi 27</w:t>
      </w:r>
      <w:r w:rsidR="00AF3A63" w:rsidRPr="00BF45DB">
        <w:rPr>
          <w:lang w:val="fr-CA"/>
        </w:rPr>
        <w:t xml:space="preserve"> </w:t>
      </w:r>
      <w:r>
        <w:rPr>
          <w:lang w:val="fr-CA"/>
        </w:rPr>
        <w:t xml:space="preserve">mai </w:t>
      </w:r>
      <w:r w:rsidR="00AF3A63" w:rsidRPr="00BF45DB">
        <w:rPr>
          <w:lang w:val="fr-CA"/>
        </w:rPr>
        <w:t>2011</w:t>
      </w:r>
    </w:p>
    <w:p w:rsidR="00AF3A63" w:rsidRPr="00BF45DB" w:rsidRDefault="00AF3A63" w:rsidP="00AF3A63">
      <w:pPr>
        <w:rPr>
          <w:lang w:val="fr-CA"/>
        </w:rPr>
      </w:pPr>
    </w:p>
    <w:p w:rsidR="00AF3A63" w:rsidRPr="00BF45DB" w:rsidRDefault="00BF45DB" w:rsidP="00AF3A63">
      <w:pPr>
        <w:rPr>
          <w:lang w:val="fr-CA"/>
        </w:rPr>
      </w:pPr>
      <w:r w:rsidRPr="00BF45DB">
        <w:rPr>
          <w:b/>
          <w:lang w:val="fr-CA"/>
        </w:rPr>
        <w:t xml:space="preserve">Version finale de la communication pré-congrès </w:t>
      </w:r>
      <w:r w:rsidR="00AF3A63" w:rsidRPr="00BF45DB">
        <w:rPr>
          <w:b/>
          <w:lang w:val="fr-CA"/>
        </w:rPr>
        <w:t>:</w:t>
      </w:r>
      <w:r w:rsidR="00AF3A63" w:rsidRPr="00BF45DB">
        <w:rPr>
          <w:lang w:val="fr-CA"/>
        </w:rPr>
        <w:t xml:space="preserve"> </w:t>
      </w:r>
      <w:r>
        <w:rPr>
          <w:lang w:val="fr-CA"/>
        </w:rPr>
        <w:t>avant le vendredi 9 septembre</w:t>
      </w:r>
      <w:r w:rsidR="00AF3A63" w:rsidRPr="00BF45DB">
        <w:rPr>
          <w:lang w:val="fr-CA"/>
        </w:rPr>
        <w:t xml:space="preserve"> 2011</w:t>
      </w:r>
    </w:p>
    <w:p w:rsidR="00AF3A63" w:rsidRPr="00BF45DB" w:rsidRDefault="00AF3A63" w:rsidP="00AF3A63">
      <w:pPr>
        <w:rPr>
          <w:lang w:val="fr-CA"/>
        </w:rPr>
      </w:pPr>
    </w:p>
    <w:p w:rsidR="00AF3A63" w:rsidRPr="00BF45DB" w:rsidRDefault="00BF45DB" w:rsidP="00AF3A63">
      <w:pPr>
        <w:rPr>
          <w:lang w:val="fr-CA"/>
        </w:rPr>
      </w:pPr>
      <w:r w:rsidRPr="00BF45DB">
        <w:rPr>
          <w:i/>
          <w:lang w:val="fr-CA"/>
        </w:rPr>
        <w:t xml:space="preserve">Pour plus de renseignements, communiquer avec </w:t>
      </w:r>
      <w:r w:rsidR="00AF3A63" w:rsidRPr="00BF45DB">
        <w:rPr>
          <w:i/>
          <w:lang w:val="fr-CA"/>
        </w:rPr>
        <w:t xml:space="preserve">: </w:t>
      </w:r>
      <w:r w:rsidR="00AF3A63" w:rsidRPr="00BF45DB">
        <w:rPr>
          <w:lang w:val="fr-CA"/>
        </w:rPr>
        <w:t>Christine Robertson, Christine.Robertson@ciaj-icaj.ca</w:t>
      </w:r>
    </w:p>
    <w:p w:rsidR="007A3FD5" w:rsidRPr="00BF45DB" w:rsidRDefault="007A3FD5" w:rsidP="00F3565B">
      <w:pPr>
        <w:rPr>
          <w:lang w:val="fr-CA"/>
        </w:rPr>
      </w:pPr>
    </w:p>
    <w:sectPr w:rsidR="007A3FD5" w:rsidRPr="00BF45DB" w:rsidSect="00EE45AB">
      <w:pgSz w:w="12240" w:h="15840"/>
      <w:pgMar w:top="1440" w:right="1440" w:bottom="1440" w:left="1440"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kzidenzGroteskBE-Bold">
    <w:altName w:val="Garamond"/>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CD2"/>
    <w:multiLevelType w:val="hybridMultilevel"/>
    <w:tmpl w:val="6FBC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93FB6"/>
    <w:multiLevelType w:val="hybridMultilevel"/>
    <w:tmpl w:val="711810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781A"/>
    <w:multiLevelType w:val="hybridMultilevel"/>
    <w:tmpl w:val="8988CA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152E2"/>
    <w:multiLevelType w:val="hybridMultilevel"/>
    <w:tmpl w:val="F2BEE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B2676"/>
    <w:multiLevelType w:val="hybridMultilevel"/>
    <w:tmpl w:val="D6CA9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61559"/>
    <w:multiLevelType w:val="hybridMultilevel"/>
    <w:tmpl w:val="25CC6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8F1736"/>
    <w:multiLevelType w:val="hybridMultilevel"/>
    <w:tmpl w:val="727EC5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115B2E"/>
    <w:multiLevelType w:val="hybridMultilevel"/>
    <w:tmpl w:val="B2D07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A3FD5"/>
    <w:rsid w:val="000A6174"/>
    <w:rsid w:val="000C799E"/>
    <w:rsid w:val="005C2C83"/>
    <w:rsid w:val="005D71D0"/>
    <w:rsid w:val="006E5CDF"/>
    <w:rsid w:val="007076F1"/>
    <w:rsid w:val="007A3FD5"/>
    <w:rsid w:val="007D2548"/>
    <w:rsid w:val="008A35A8"/>
    <w:rsid w:val="008E60D0"/>
    <w:rsid w:val="009835C9"/>
    <w:rsid w:val="00985A60"/>
    <w:rsid w:val="009C34A8"/>
    <w:rsid w:val="00AF3A63"/>
    <w:rsid w:val="00BF45DB"/>
    <w:rsid w:val="00C109B0"/>
    <w:rsid w:val="00CB4345"/>
    <w:rsid w:val="00CC04E5"/>
    <w:rsid w:val="00D26CC6"/>
    <w:rsid w:val="00D307EB"/>
    <w:rsid w:val="00D3685A"/>
    <w:rsid w:val="00EE45AB"/>
    <w:rsid w:val="00F26683"/>
    <w:rsid w:val="00F3565B"/>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18"/>
    <w:rPr>
      <w:rFonts w:ascii="Garamond" w:hAnsi="Garamon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835C9"/>
    <w:pPr>
      <w:ind w:left="720"/>
      <w:contextualSpacing/>
    </w:pPr>
  </w:style>
  <w:style w:type="character" w:styleId="Hyperlink">
    <w:name w:val="Hyperlink"/>
    <w:basedOn w:val="DefaultParagraphFont"/>
    <w:uiPriority w:val="99"/>
    <w:unhideWhenUsed/>
    <w:rsid w:val="00AF3A63"/>
    <w:rPr>
      <w:color w:val="0000FF" w:themeColor="hyperlink"/>
      <w:u w:val="single"/>
    </w:rPr>
  </w:style>
  <w:style w:type="paragraph" w:styleId="BalloonText">
    <w:name w:val="Balloon Text"/>
    <w:basedOn w:val="Normal"/>
    <w:link w:val="BalloonTextChar"/>
    <w:uiPriority w:val="99"/>
    <w:semiHidden/>
    <w:unhideWhenUsed/>
    <w:rsid w:val="00EE45AB"/>
    <w:rPr>
      <w:rFonts w:ascii="Tahoma" w:hAnsi="Tahoma" w:cs="Tahoma"/>
      <w:sz w:val="16"/>
      <w:szCs w:val="16"/>
    </w:rPr>
  </w:style>
  <w:style w:type="character" w:customStyle="1" w:styleId="BalloonTextChar">
    <w:name w:val="Balloon Text Char"/>
    <w:basedOn w:val="DefaultParagraphFont"/>
    <w:link w:val="BalloonText"/>
    <w:uiPriority w:val="99"/>
    <w:semiHidden/>
    <w:rsid w:val="00EE4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yperlink" Target="mailto:Christine.Robertson@ciaj-icaj.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4733</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Forcese</dc:creator>
  <cp:keywords/>
  <cp:lastModifiedBy>Craig Forcese</cp:lastModifiedBy>
  <cp:revision>2</cp:revision>
  <cp:lastPrinted>2010-09-22T10:57:00Z</cp:lastPrinted>
  <dcterms:created xsi:type="dcterms:W3CDTF">2010-09-22T10:58:00Z</dcterms:created>
  <dcterms:modified xsi:type="dcterms:W3CDTF">2010-09-22T10:58:00Z</dcterms:modified>
</cp:coreProperties>
</file>